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הילד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תחילתו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מסע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ראשיתה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היווצרות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מארג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בלעדיה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פרויד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דימה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האנאליטי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למשחק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שחמט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והציג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כמהלך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גאמביט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gambit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 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ישפיע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שמתרחש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יתפתח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ההעברה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אתייחס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כמקרה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הפרטי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כורחו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מובל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הוריו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מבוגרים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משמעותו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השלכתי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ואינו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בהיווצרות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הסימפטום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חווה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ההפניה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כהאשמה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בסדרת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האשמות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והוכחות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הסירוב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להקשיב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מבטא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חוליה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בשרשרת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המאבקים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להתנגד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משאלה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הוריו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כלפיו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מתבייש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וחושש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שמא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תדע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משוגע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חרד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ללעגם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אחים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ולאפשרות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שינצלו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כבד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התסריטים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רצים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בראשו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להתרחשות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הצפויה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מושפעים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מההסבר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שקבל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ממפגשים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קודמים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המושג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פסיכולוג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מחרדות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שקשורות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למצבים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וחסרי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וודאות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ולחרדת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נטישה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הביישנות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הטבעית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להימהל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בזעם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שההורים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הכריחו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מופגז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בשאלות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פנימיות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הדמות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סיפרו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בטח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חושבת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ונורא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עצמה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נחמדה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אימא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ילדי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פנימייה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).</w:t>
      </w:r>
    </w:p>
    <w:p w:rsidR="00000000" w:rsidDel="00000000" w:rsidP="00000000" w:rsidRDefault="00000000" w:rsidRPr="00000000" w14:paraId="0000000C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הדמות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מפתיעה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בהקשבה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ובהתבוננות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הדיבור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והשתיקה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בנחמדות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ובקבלה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ברכות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בחוסר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הדרשנות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המהולה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בהצבת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משמעיים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המשחק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הסמויים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"?,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ולהיות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עסוק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שתקופה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ילדים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).</w:t>
      </w:r>
    </w:p>
    <w:p w:rsidR="00000000" w:rsidDel="00000000" w:rsidP="00000000" w:rsidRDefault="00000000" w:rsidRPr="00000000" w14:paraId="0000000E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בסיטואציה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ושאינה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בדומה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לתינוק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בתוכו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ההתרגשות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והפנטזיות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המודעות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מודעות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רצונות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ומשאלות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ואיוויים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בוגר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והשלכותיהם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האחד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חשיפה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ראשונית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מבחן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קבלה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מפגיש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פוגש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setting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הקביעות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ניבוי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ועקביות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חדר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רהיטים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ומשחקים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הפתיחות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העמדה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מכוונת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והניטרליות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להיפתח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ולבטא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בחופשיות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הופעת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רגשות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עוינים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ידידותיים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הגבולות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החדר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setting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Boston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Daws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,1977) .</w:t>
      </w:r>
    </w:p>
    <w:p w:rsidR="00000000" w:rsidDel="00000000" w:rsidP="00000000" w:rsidRDefault="00000000" w:rsidRPr="00000000" w14:paraId="00000013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setting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רפליקציה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מחזיקה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holding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מייצר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הטכניקות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האימהיות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המוקדמות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נסיגה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המהימנות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הנסיגה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מאורגנת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הנרקיסיזם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setting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מתמזגים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לסיטואציה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הנרקיסיזם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מיזוג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המוחלטת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ההתקדמות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מהנרקיסיזם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מתחילה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האמיתי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מסוגל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לפגוש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מצבים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כשלון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שארגון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ההגנות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המזויף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יגן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האמיתי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ויניקוט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1954).</w:t>
      </w:r>
    </w:p>
    <w:p w:rsidR="00000000" w:rsidDel="00000000" w:rsidP="00000000" w:rsidRDefault="00000000" w:rsidRPr="00000000" w14:paraId="00000015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מקפלת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בתוכה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עיקר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הבעייתיות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חלקים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יצוצו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בהדרגה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מתחילה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השפה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הטיפולית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המשותפת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בדומה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ההכרות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ההדדית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תינוק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מתחילה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בהדרגה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לזהות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ולהפך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נוצרת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אינטימית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וורבלית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וורבלית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לומד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ומתחיל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לפתח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הדיאלוג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מתפתחת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סמלים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סימנים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ואותות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לרמה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שפה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יוצאת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דופן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בתיאור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פיגי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ויניקוט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1977).</w:t>
      </w:r>
    </w:p>
    <w:p w:rsidR="00000000" w:rsidDel="00000000" w:rsidP="00000000" w:rsidRDefault="00000000" w:rsidRPr="00000000" w14:paraId="00000018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ההקשבה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שקורה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בעצמי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ובאחר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חיונית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משלב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המגע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שיפתח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מיומנות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אוטונומי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ֵ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כאדם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שמתעניין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להועיל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ושיש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להיעשות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נחוץ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ולנסות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שיאפשרו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האנליזה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אוירה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תומכת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הדומה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אימהי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ומסגרת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נחשף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לתרגום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סמכותי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".</w:t>
      </w:r>
    </w:p>
    <w:p w:rsidR="00000000" w:rsidDel="00000000" w:rsidP="00000000" w:rsidRDefault="00000000" w:rsidRPr="00000000" w14:paraId="0000001C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מעין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מארח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שבתוכה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להתבצע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חיוני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יתנהל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1"/>
        </w:rPr>
        <w:t xml:space="preserve">בקצב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שחזור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בנייה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מאפשרת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גדילה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פיליפס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1988).</w:t>
      </w:r>
    </w:p>
    <w:p w:rsidR="00000000" w:rsidDel="00000000" w:rsidP="00000000" w:rsidRDefault="00000000" w:rsidRPr="00000000" w14:paraId="0000001D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ערנות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לחרדה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הכמעט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ודאית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כמשנתה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פרויד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חיפוש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להקל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חרדה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קופולילו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(1991)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טלפוני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וביוזמתו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יבקש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יתקשר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יתנהל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בטריטוריה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המוכרת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ובשליטתו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לנתק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להבהיר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מילה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להבהיר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להתאים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ללוחות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לשדר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מכבד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קופולילו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מתאר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בפרוט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ההכרות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דיאגנוסטי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הסימפטומים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לשלוט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אקטיבית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בחרדותיו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הפיכתו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לשותף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בכינון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התרפיסט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ומאוחר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עמדות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ומעשים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למסקנות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המודעות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עמ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' 135).</w:t>
      </w:r>
    </w:p>
    <w:p w:rsidR="00000000" w:rsidDel="00000000" w:rsidP="00000000" w:rsidRDefault="00000000" w:rsidRPr="00000000" w14:paraId="00000021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ערנות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ההמתנה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ולנסות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החרדה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ראוי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הראיון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מנושאים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פעילויות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אישיות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החושפות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יומיומיים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שיאפשר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חזרתי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מחד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גיסא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כאוטי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ומבולבל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מאידך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גיסא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לגעת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מעוררי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אמביוולנציה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וביכולות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קשרים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במשפחה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ומחוצה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חיוני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הסובייקטיבי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ולעולם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התחושות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המתבטאות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בקומוניקציה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ורבלית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הראיון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הדיאגנוסטי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לרענן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עיקרי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המורחב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הסודיות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קופולילו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לתאר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השיטות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לפיהן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יתנהל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מדגיש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לבטא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חופשי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משאלותיו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ושהתפקיד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להגיב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קונקרטית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למשאלה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המשחק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מתאר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ולגלות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קונפליקטים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חבויים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המחשבות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קופולילו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מרגיע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חרדתו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משתיקה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מביאה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אקטיבי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ויוזם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מבטיח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יתחיל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שהקומוניקציה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הוורבלית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מצופה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ומכובדת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חרדת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מעודדת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יתגלה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הסבלנות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והבוננות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האקטיבית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בשילוב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לשתיקה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לשבור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הקרח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הבודקות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השקט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מאפשרות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התפתחותית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(9-11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שהסיבות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להתנהגות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פנימי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וגילוין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פרויד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ולויניקוט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קופולילו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שתרומתו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העיקרית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לברית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הטיפולית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בראיית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שותף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לעולמו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הסובייקטיבי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תאפשר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למטפל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ערנות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ולצרכים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לזהות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צרכים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דוגמת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בבהירות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ובהקלה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החרדה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ולהתאים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ההתפתחותי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ולקצב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המטופל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1"/>
        </w:rPr>
        <w:t xml:space="preserve">נעמה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0"/>
        </w:rPr>
        <w:t xml:space="preserve">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